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>
      <w:pPr>
        <w:pStyle w:val="12"/>
        <w:spacing w:after="0" w:line="240" w:lineRule="auto"/>
        <w:rPr>
          <w:rFonts w:ascii="Times New Roman" w:hAnsi="Times New Roman"/>
          <w:iCs/>
          <w:sz w:val="24"/>
          <w:szCs w:val="28"/>
        </w:rPr>
      </w:pP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нарушениях осанки.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сколиозах.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деформациях стопы.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остеохондрозе позвоночника.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</w:t>
      </w:r>
      <w:r>
        <w:t xml:space="preserve"> </w:t>
      </w: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при ишемической болезни сердца.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 xml:space="preserve">Лечебная физическая культура при остром инфаркте миокарда. 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атеросклерозе.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артериальной гипертензии.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гипотензии.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бронхиальной астме.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бронхите.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бронхоэктатической болезни.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пневмонии.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гастрите.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язвенной болезни желудка и двенадцатиперстной кишки.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опущении внутренних органов.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сахарном диабете.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ожирении.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в период беременности, родов, послеродовой период.</w:t>
      </w:r>
    </w:p>
    <w:p>
      <w:pPr>
        <w:pStyle w:val="19"/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/>
        <w:jc w:val="both"/>
        <w:rPr>
          <w:rFonts w:ascii="Times New Roman" w:hAnsi="Times New Roman" w:eastAsia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3"/>
          <w:sz w:val="24"/>
          <w:szCs w:val="24"/>
          <w:lang w:eastAsia="ru-RU"/>
        </w:rPr>
        <w:t>Лечебная физическая культура при гинекологических заболеваниях.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D4A0B4"/>
    <w:multiLevelType w:val="singleLevel"/>
    <w:tmpl w:val="F4D4A0B4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C81388A"/>
    <w:rsid w:val="158C6E75"/>
    <w:rsid w:val="34A848DB"/>
    <w:rsid w:val="54083BA7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2021-01-13T22:22:24Z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