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1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1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Тестирование функционального состояния мышц шеи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Тестирование функционального состояния мышц туловища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/>
          <w:sz w:val="24"/>
          <w:szCs w:val="24"/>
        </w:rPr>
        <w:t>Антропометрическое и биомеханическое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 xml:space="preserve"> исследование позвоночника в рамках формирования индивидуального маршрута физической реабилитации.</w:t>
      </w:r>
    </w:p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Антропометрическое и биомеханическое исследование грудной клетки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рамках формирования индивидуального маршрута физической реабилитации.</w:t>
      </w:r>
    </w:p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Антропометрическое и биомеханическое исследование шейного отдела позвоночника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рамках формирования индивидуального маршрута физической реабилитации.</w:t>
      </w:r>
    </w:p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Антропометрическое и биомеханическое исследование грудного отдела позвоночника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рамках формирования индивидуального маршрута физической реабилитации.</w:t>
      </w:r>
    </w:p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Антропометрическое и биомеханическое исследование поясничного отдела позвоночника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рамках формирования индивидуального маршрута физической реабилитации.</w:t>
      </w:r>
    </w:p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Антропометрическое и биомеханическое исследование крестцово-подвздошного сустава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рамках формирования индивидуального маршрута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Тестирование функционального состояния мышц шеи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Тестирование функционального состояния мышц верхних конечностей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/>
          <w:sz w:val="24"/>
          <w:szCs w:val="24"/>
        </w:rPr>
        <w:t>Антропометрическое и биомеханическое исследование плечевого сустава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 xml:space="preserve">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/>
          <w:sz w:val="24"/>
          <w:szCs w:val="24"/>
        </w:rPr>
        <w:t xml:space="preserve">Антропометрическое и биомеханическое исследование локтевого сустава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/>
          <w:sz w:val="24"/>
          <w:szCs w:val="24"/>
        </w:rPr>
        <w:t>Антропометрическое и биомеханическое исследование запястья, кисти и пальцев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 xml:space="preserve">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Тестирование функционального состояния мышц нижних конечностей в процессе физической реабилитации. Тазобедренный сустав.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Тестирование функционального состояния мышц нижних конечностей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 xml:space="preserve">Тестирование функционального состояния мышц нижних конечностей в процессе физической реабилитации. Голеностопный сустав. 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/>
          <w:sz w:val="24"/>
          <w:szCs w:val="24"/>
        </w:rPr>
        <w:t xml:space="preserve">Тестирование укороченных мышечных групп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val="ru" w:eastAsia="ru"/>
        </w:rPr>
      </w:pPr>
      <w:r>
        <w:rPr>
          <w:rFonts w:ascii="Times New Roman" w:hAnsi="Times New Roman"/>
          <w:sz w:val="24"/>
          <w:szCs w:val="24"/>
        </w:rPr>
        <w:t xml:space="preserve">Тестирование гипермобильности мышц </w:t>
      </w:r>
      <w:r>
        <w:rPr>
          <w:rFonts w:ascii="Times New Roman" w:hAnsi="Times New Roman" w:eastAsia="Times New Roman"/>
          <w:bCs/>
          <w:sz w:val="24"/>
          <w:szCs w:val="24"/>
          <w:lang w:val="ru" w:eastAsia="ru"/>
        </w:rPr>
        <w:t>в процессе физической реабилитации</w:t>
      </w:r>
      <w:r>
        <w:rPr>
          <w:rFonts w:ascii="Times New Roman" w:hAnsi="Times New Roman"/>
          <w:sz w:val="24"/>
          <w:szCs w:val="24"/>
        </w:rPr>
        <w:t>. Виды гипермобильности.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0A4CBC"/>
    <w:multiLevelType w:val="multilevel"/>
    <w:tmpl w:val="330A4CB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2021-01-13T22:17:00Z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