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Лечебная физическая культура при заболеваниях внутренних органов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8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803"/>
        <w:gridCol w:w="1100"/>
        <w:gridCol w:w="112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24916377"/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1. Лечебная физическая культура при заболеваниях сердечно- сосудистой системы. Этиология и патогенез заболеваний сердечно- 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2. Лечебная физическая культура при заболеваниях сердечно- сосудистой системы. Теоретические основы организации оздоровительной и профилактической работы с лицами, имеющими заболевания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№ 1. </w:t>
            </w:r>
            <w:bookmarkStart w:id="1" w:name="_Hlk25258295"/>
            <w:r>
              <w:rPr>
                <w:rFonts w:ascii="Times New Roman" w:hAnsi="Times New Roman"/>
              </w:rPr>
              <w:t>Лечебная физическая культура при заболеваниях сердечно-сосудистой системы. Составление индивидуальных программ реабилитации при заболеваниях сердечно-сосудистой системы.</w:t>
            </w:r>
            <w:bookmarkEnd w:id="1"/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2. Лечебная физическая культура при заболеваниях сердечно-сосудистой системы. Разъяснение среди лиц с заболеваниями сердечно-сосудистой системы необходимости ведения здорового образа жизни.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1,5/2,5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3. Лечебная физическая культура при заболеваниях сердечно- сосудистой системы. Методики лечебной физической культуры, применяемые при заболеваниях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4. Лечебная физическая культура при заболеваниях сердечно- сосудистой системы. Средства профилактики вторичных нарушений при заболеваниях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2,5/3,5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3. Лечебная физическая культура при заболеваниях сердечно-сосудистой системы. Регулирование физической нагрузки в процессе реабилитации лиц с заболеваниями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4. Лечебная физическая культура при заболеваниях сердечно-сосудистой системы. Частные методики лечебной физической культуры при заболеваниях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5. Лечебная физическая культура при заболеваниях сердечно- сосудистой системы. Учет и обобщение результатов оздоровительной и профилактической работы с лицами, имеющими заболевания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№ 5. Лечебная физическая культура при заболеваниях сердечно-сосудистой системы. Проведение занятий оздоровительной направленности с лицами, имеющими заболевания сердечно-сосудистой системы.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3,5/7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6. Лечебная физическая культура при заболеваниях сердечно-сосудистой системы. Учет и обобщение результатов оздоровительной и профилактической работы с лицами, имеющими заболевания сердечно-сосудистой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7. Лечебная физическая культура при заболеваниях сердечно-сосудистой системы. Оценка эффективности применяемых методик ЛФК в процессе реабилитации лиц с заболеваниями сердечно-сосудистой системы.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5,5/12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№ 6. Лечебная физическая культура при заболеваниях органов дыхания. Этиология и патогенез заболеваний органов дыхания.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6/12,5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7. Лечебная физическая культура при заболеваниях органов дыхания. Теоретические основы организации оздоровительной и профилактической работы с лицами, имеющими заболевания органов дыхания.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6,5/13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8. Лечебная физическая культура при заболеваниях органов дыхания. Разработка индивидуальных программ реабилитации для лиц с заболеваниями органов дыхания.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9. Лечебная физическая культура при заболеваниях органов дыхания. Разъяснение среди лиц с заболеваниями органов дыхания необходимости ведения здорового образа жизни.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8. Лечебная физическая культура при заболеваниях органов дыхания. Методики лечебной физической культуры, применяемые при заболеваниях органов дыхания.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7/13,5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Лекция № 9. Лечебная физическая культура при заболеваниях органов дыхания. Средства профилактики вторичных нарушений при заболеваниях органов дыхания.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7,5/14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10. Лечебная физическая культура при заболеваниях органов дыхания. Регулирование физической нагрузки в процессе реабилитации лиц с заболеваниями органов дыхания.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11. Лечебная физическая культура при заболеваниях органов дыхания. Частные методики лечебной физической культуры при заболеваниях органов дыхания.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Лекция № 10. Лечебная физическая культура при заболеваниях органов дыхания. Учет и обобщение результатов оздоровительной и профилактической работы с лицами, имеющими заболевания органов дыхания.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8/14,5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12. Лечебная физическая культура при заболеваниях органов дыхания. Проведение занятий оздоровительной направленности с лицами, имеющими заболевания органов дыхания.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8,5/17,5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13. Лечебная физическая культура при заболеваниях органов дыхания. Учет и обобщение результатов оздоровительной и профилактической работы с лицами, имеющими заболевания органов дыхания.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14. Лечебная физическая культура при заболеваниях органов дыхания. Оценка эффективности занятий оздоровительной направленности с лицами, имеющими заболевания органов дыхания.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2-й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10,5/22,5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11. Лечебная физическая культура при заболеваниях желудочно-кишечного тракта. Этиология и патогенез заболеваний желудочно-кишечного тракта.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12. Лечебная физическая культура при заболеваниях желудочно-кишечного тракта. Теоретические основы организации оздоровительной и профилактической работы с лицами, имеющими заболевания желудочно-кишечного тракта.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11,5/23,5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15. Лечебная физическая культура при заболеваниях желудочно-кишечного тракта. Разработка индивидуальных программ реабилитации для лиц с заболеваниями желудочно-кишечного тракта.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16. Лечебная физическая культура при заболеваниях желудочно-кишечного тракта. Разъяснение среди лиц с заболеваниями желудочно-кишечного тракта необходимости ведения здорового образа жизни.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11,5/24,5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13. Лечебная физическая культура при заболеваниях желудочно-кишечного тракта. Методики лечебной физической культуры, применяемые при заболеваниях желудочно-кишечного тракта.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Лекция № 14. Лечебная физическая культура при заболеваниях желудочно-кишечного тракта. Средства профилактики вторичных нарушений при заболеваниях желудочно-кишечного тракта.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12,5/25,5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17. Лечебная физическая культура при заболеваниях желудочно-кишечного тракта. Регулирование физической нагрузки в процессе реабилитации лиц с заболеваниями желудочно-кишечного тракта.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18. Лечебная физическая культура при заболеваниях желудочно-кишечного тракта. Частные методики лечебной физической культуры при заболеваниях желудочно-кишечного тракта.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Лекция № 15. Лечебная физическая культура при заболеваниях желудочно-кишечного тракта. Учет и обобщение результатов оздоровительной и профилактической работы с лицами, имеющими заболевания желудочно-кишечного тракта.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13/26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19. Лечебная физическая культура при заболеваниях желудочно-кишечного тракта. Проведение занятий оздоровительной направленности с лицами, имеющими заболевания желудочно-кишечного тракта.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13,5/29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20. Лечебная физическая культура при заболеваниях желудочно-кишечного тракта. Учет и обобщение результатов оздоровительной и профилактической работы с лицами, имеющими заболевания желудочно-кишечного тракта.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21. Лечебная физическая культура при заболеваниях желудочно-кишечного тракта. Оценка эффективности применяемых методик ЛФК в процессе реабилитации лиц с заболеваниями желудочно-кишечного тракта.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3-й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15,5/34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16. Лечебная физическая культура при заболеваниях нервной системы. Этиология и патогенез заболеваний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16/34,5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17. Лечебная физическая культура при заболеваниях нервной системы. Методики лечебной физической культуры, применяемые при заболеваниях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16,5/35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22. Лечебная физическая культура при заболеваниях нервной системы. Разработка индивидуальных программ реабилитации для лиц с заболеваниями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23. Лечебная физическая культура при заболеваниях нервной системы. Разъяснение среди лиц с заболеваниями нервной системы необходимости ведения здорового образа жизни.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16,5/36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24. Лечебная физическая культура при заболеваниях нервной системы. Регулирование физической нагрузки в процессе реабилитации лиц с заболеваниями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18. Лечебная физическая культура при заболеваниях нервной системы. Средства профилактики вторичных нарушений при заболеваниях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17/36,5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№ 19. Лечебная физическая культура при заболеваниях нервной системы. Учет и обобщение результатов оздоровительной и профилактической работы с лицами, имеющими заболевания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17,5/37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25. Лечебная физическая культура при заболеваниях нервной системы. Частные методики лечебной физической культуры при заболеваниях нервной системы.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4-й Текущий контроль –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20,5/42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26. Лечебная физическая культура при заболеваниях нервной системы. Проведение занятий оздоровительной направленности с лицами, имеющими заболевания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21/45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27. Лечебная физическая культура при заболеваниях нервной системы. Учет и обобщение результатов оздоровительной и профилактической работы с лицами, имеющими заболевания нервной системы.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5-й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23/50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</w:rPr>
              <w:t>Практическое занятие № 28. Лечебная физическая культура при заболеваниях нервной системы. Оценка эффективности применяемых методик ЛФК в процессе реабилитации лиц с заболеваниями нервной системы.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Рубежный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28/60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–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6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8"/>
        <w:spacing w:after="0" w:line="240" w:lineRule="auto"/>
        <w:ind w:left="17" w:hanging="16" w:hangingChars="7"/>
        <w:jc w:val="center"/>
        <w:rPr>
          <w:rFonts w:ascii="Times New Roman" w:hAnsi="Times New Roman"/>
          <w:sz w:val="24"/>
          <w:szCs w:val="24"/>
        </w:rPr>
      </w:pPr>
    </w:p>
    <w:p>
      <w:bookmarkStart w:id="2" w:name="_GoBack"/>
      <w:bookmarkEnd w:id="2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EA9AE"/>
    <w:multiLevelType w:val="singleLevel"/>
    <w:tmpl w:val="479EA9A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10DB7C32"/>
    <w:rsid w:val="14D70288"/>
    <w:rsid w:val="30F87640"/>
    <w:rsid w:val="4DC66585"/>
    <w:rsid w:val="51296030"/>
    <w:rsid w:val="555D78C3"/>
    <w:rsid w:val="56C0103E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2021-01-13T22:45:31Z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