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ЗАОЧНАЯ ФОРМА ОБУЧЕНИЯ</w:t>
      </w:r>
    </w:p>
    <w:p>
      <w:pPr>
        <w:pStyle w:val="18"/>
        <w:spacing w:after="0" w:line="240" w:lineRule="auto"/>
        <w:ind w:left="228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pacing w:after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>
      <w:pPr>
        <w:spacing w:after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pacing w:after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Физическая реабилитация при заболеваниях опорно-двигательного аппарата </w:t>
      </w:r>
    </w:p>
    <w:p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3                                                                                    (на 20__/20__ учебный год)   </w:t>
      </w:r>
    </w:p>
    <w:tbl>
      <w:tblPr>
        <w:tblStyle w:val="1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1276"/>
        <w:gridCol w:w="1559"/>
        <w:gridCol w:w="141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виды контроля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аттестации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  <w:t>Контактная работа (аудиторная/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  <w:t>внеаудиторная)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баллов</w:t>
            </w:r>
          </w:p>
        </w:tc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Лекция № 1. Физическая реабилитация при остеохондрозе 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 xml:space="preserve">позвоночника. </w:t>
            </w:r>
            <w:r>
              <w:rPr>
                <w:rFonts w:ascii="Times New Roman" w:hAnsi="Times New Roman"/>
                <w:szCs w:val="24"/>
              </w:rPr>
              <w:t xml:space="preserve">Физическая реабилитация при 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>заболеваниях стопы.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Лекция № 2. Физическая реабилитация при заболеваниях крупных суставов опорно-двигательного аппарата.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Семинарское занятие № 1. Современные технологии, средства и методы физической реабилитации при 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>остеохондрозе шейного отдела позвоночника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>и церебральных дисфункциях.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1-й текущий контроль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Семинарское занятие № 2.  М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>етоды, технологии и особенности физической реабилитации при остеохондрозе грудного отдела позвоночника.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2-й текущий контроль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Семинарское занятие № 3. М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>етоды, технологии и особенности физической реабилитации при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>плечелопаточном периартрите.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1. Методы и способы формирования индивидуального маршрута реабилитации</w:t>
            </w:r>
            <w:r>
              <w:rPr>
                <w:rFonts w:ascii="Times New Roman" w:hAnsi="Times New Roman" w:eastAsia="Times New Roman"/>
                <w:spacing w:val="-3"/>
                <w:szCs w:val="24"/>
                <w:lang w:eastAsia="ru-RU"/>
              </w:rPr>
              <w:t xml:space="preserve"> при ограничении подвижности в плечевых суставах и плечелопаточном периартрите.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3-й текущий контроль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Практическое занятие № 2. Методы, технологии и особенности физической реабилитации при остеоартрозе (гонартрозе) коленного сустава.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24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4-й текущий контроль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>Практическое занятие № 3. Методы, технологии и особенности физической реабилитации при продольном и поперечном плоскостопии.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Внеаудиторная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41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9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6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41" w:type="dxa"/>
            <w:gridSpan w:val="3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96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2B826D1"/>
    <w:rsid w:val="04B21A4F"/>
    <w:rsid w:val="315E23DA"/>
    <w:rsid w:val="3A231265"/>
    <w:rsid w:val="41F260D9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2021-01-13T22:56:53Z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